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9FBC4A">
      <w:pPr>
        <w:spacing w:line="360" w:lineRule="auto"/>
        <w:jc w:val="center"/>
        <w:rPr>
          <w:color w:val="000000"/>
        </w:rPr>
      </w:pPr>
    </w:p>
    <w:p w14:paraId="478934F5">
      <w:pPr>
        <w:spacing w:line="360" w:lineRule="auto"/>
        <w:jc w:val="center"/>
        <w:rPr>
          <w:color w:val="000000"/>
        </w:rPr>
      </w:pPr>
    </w:p>
    <w:p w14:paraId="33B742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仿宋" w:hAnsi="仿宋" w:eastAsia="仿宋" w:cs="仿宋"/>
          <w:b/>
          <w:color w:val="000000"/>
          <w:sz w:val="48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48"/>
          <w:lang w:val="en-US" w:eastAsia="zh-CN"/>
        </w:rPr>
        <w:t>2024年中国研究生企业管理创新大赛</w:t>
      </w:r>
    </w:p>
    <w:p w14:paraId="31C21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仿宋" w:hAnsi="仿宋" w:eastAsia="仿宋" w:cs="仿宋"/>
          <w:b/>
          <w:color w:val="000000"/>
          <w:sz w:val="48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48"/>
          <w:lang w:val="en-US" w:eastAsia="zh-CN"/>
        </w:rPr>
        <w:t>商业分析与智能应用赛道</w:t>
      </w:r>
    </w:p>
    <w:p w14:paraId="22B87032">
      <w:pPr>
        <w:spacing w:line="360" w:lineRule="auto"/>
        <w:jc w:val="center"/>
        <w:rPr>
          <w:rFonts w:hint="eastAsia" w:ascii="仿宋" w:hAnsi="仿宋" w:eastAsia="仿宋" w:cs="仿宋"/>
          <w:color w:val="000000"/>
        </w:rPr>
      </w:pPr>
    </w:p>
    <w:p w14:paraId="393F9D51">
      <w:pPr>
        <w:spacing w:line="360" w:lineRule="auto"/>
        <w:jc w:val="center"/>
        <w:rPr>
          <w:rFonts w:hint="eastAsia" w:ascii="仿宋" w:hAnsi="仿宋" w:eastAsia="仿宋" w:cs="仿宋"/>
          <w:b/>
          <w:color w:val="000000"/>
          <w:sz w:val="48"/>
        </w:rPr>
      </w:pPr>
      <w:r>
        <w:rPr>
          <w:rFonts w:hint="eastAsia" w:ascii="仿宋" w:hAnsi="仿宋" w:eastAsia="仿宋" w:cs="仿宋"/>
          <w:b/>
          <w:color w:val="000000"/>
          <w:sz w:val="48"/>
          <w:lang w:val="en-US" w:eastAsia="zh-CN"/>
        </w:rPr>
        <w:t>项   目</w:t>
      </w:r>
      <w:r>
        <w:rPr>
          <w:rFonts w:hint="eastAsia" w:ascii="仿宋" w:hAnsi="仿宋" w:eastAsia="仿宋" w:cs="仿宋"/>
          <w:b/>
          <w:color w:val="000000"/>
          <w:sz w:val="48"/>
        </w:rPr>
        <w:t xml:space="preserve"> </w:t>
      </w:r>
      <w:r>
        <w:rPr>
          <w:rFonts w:hint="eastAsia" w:ascii="仿宋" w:hAnsi="仿宋" w:eastAsia="仿宋" w:cs="仿宋"/>
          <w:b/>
          <w:color w:val="000000"/>
          <w:sz w:val="4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color w:val="000000"/>
          <w:sz w:val="48"/>
        </w:rPr>
        <w:t xml:space="preserve"> 书</w:t>
      </w:r>
    </w:p>
    <w:p w14:paraId="04018E04">
      <w:pPr>
        <w:spacing w:line="360" w:lineRule="auto"/>
        <w:jc w:val="center"/>
        <w:rPr>
          <w:rFonts w:hint="eastAsia" w:ascii="华文中宋" w:eastAsia="华文中宋"/>
          <w:b/>
          <w:color w:val="000000"/>
          <w:sz w:val="48"/>
        </w:rPr>
      </w:pPr>
    </w:p>
    <w:p w14:paraId="1C0E34BF">
      <w:pPr>
        <w:spacing w:line="360" w:lineRule="auto"/>
        <w:jc w:val="center"/>
        <w:rPr>
          <w:rFonts w:hint="eastAsia" w:ascii="华文中宋" w:eastAsia="华文中宋"/>
          <w:b/>
          <w:color w:val="000000"/>
          <w:sz w:val="48"/>
        </w:rPr>
      </w:pPr>
    </w:p>
    <w:p w14:paraId="7F95C587">
      <w:pPr>
        <w:spacing w:line="360" w:lineRule="auto"/>
        <w:rPr>
          <w:rFonts w:hint="eastAsia" w:eastAsia="黑体"/>
          <w:color w:val="000000"/>
        </w:rPr>
      </w:pP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6"/>
        <w:gridCol w:w="5019"/>
      </w:tblGrid>
      <w:tr w14:paraId="0F32C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7E58284">
            <w:pPr>
              <w:spacing w:line="360" w:lineRule="auto"/>
              <w:jc w:val="center"/>
              <w:rPr>
                <w:rFonts w:hint="eastAsia" w:ascii="仿宋" w:eastAsia="仿宋"/>
                <w:color w:val="000000"/>
                <w:sz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lang w:val="en-US" w:eastAsia="zh-CN"/>
              </w:rPr>
              <w:t>项</w:t>
            </w:r>
            <w:r>
              <w:rPr>
                <w:rFonts w:hint="eastAsia" w:ascii="仿宋_GB2312" w:eastAsia="仿宋_GB2312"/>
                <w:color w:val="000000"/>
                <w:sz w:val="32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32"/>
                <w:lang w:val="en-US" w:eastAsia="zh-CN"/>
              </w:rPr>
              <w:t>目</w:t>
            </w:r>
            <w:r>
              <w:rPr>
                <w:rFonts w:hint="eastAsia" w:ascii="仿宋_GB2312" w:eastAsia="仿宋_GB2312"/>
                <w:color w:val="000000"/>
                <w:sz w:val="32"/>
              </w:rPr>
              <w:t xml:space="preserve">  名  称</w:t>
            </w:r>
            <w:r>
              <w:rPr>
                <w:rFonts w:hint="eastAsia" w:ascii="仿宋" w:eastAsia="仿宋"/>
                <w:color w:val="000000"/>
                <w:sz w:val="32"/>
              </w:rPr>
              <w:t xml:space="preserve">  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C537688">
            <w:pPr>
              <w:spacing w:line="360" w:lineRule="auto"/>
              <w:rPr>
                <w:rFonts w:hint="eastAsia" w:ascii="楷体_GB2312" w:eastAsia="楷体_GB2312"/>
                <w:b/>
                <w:color w:val="000000"/>
                <w:sz w:val="32"/>
              </w:rPr>
            </w:pPr>
          </w:p>
          <w:p w14:paraId="0B0AB818">
            <w:pPr>
              <w:spacing w:line="360" w:lineRule="auto"/>
              <w:rPr>
                <w:rFonts w:hint="eastAsia" w:ascii="楷体_GB2312" w:eastAsia="楷体_GB2312"/>
                <w:b/>
                <w:color w:val="000000"/>
                <w:sz w:val="32"/>
                <w:lang w:val="en-US" w:eastAsia="zh-CN"/>
              </w:rPr>
            </w:pPr>
          </w:p>
          <w:p w14:paraId="0796B227">
            <w:pPr>
              <w:spacing w:line="360" w:lineRule="auto"/>
              <w:rPr>
                <w:rFonts w:hint="eastAsia" w:ascii="楷体_GB2312" w:eastAsia="楷体_GB2312"/>
                <w:b/>
                <w:color w:val="000000"/>
                <w:sz w:val="32"/>
              </w:rPr>
            </w:pPr>
          </w:p>
        </w:tc>
      </w:tr>
      <w:tr w14:paraId="3FE99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B0B17C4">
            <w:pPr>
              <w:spacing w:line="360" w:lineRule="auto"/>
              <w:jc w:val="center"/>
              <w:rPr>
                <w:rFonts w:hint="default" w:ascii="仿宋_GB2312" w:eastAsia="仿宋_GB2312"/>
                <w:color w:val="000000"/>
                <w:sz w:val="3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highlight w:val="none"/>
                <w:lang w:val="en-US" w:eastAsia="zh-CN"/>
              </w:rPr>
              <w:t>团  队  名  称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166A2DF">
            <w:pPr>
              <w:spacing w:line="360" w:lineRule="auto"/>
              <w:rPr>
                <w:rFonts w:hint="eastAsia" w:ascii="楷体_GB2312" w:eastAsia="楷体_GB2312"/>
                <w:b/>
                <w:color w:val="000000"/>
                <w:sz w:val="32"/>
              </w:rPr>
            </w:pPr>
          </w:p>
        </w:tc>
      </w:tr>
    </w:tbl>
    <w:p w14:paraId="4472D759">
      <w:pPr>
        <w:spacing w:line="360" w:lineRule="auto"/>
        <w:jc w:val="center"/>
        <w:rPr>
          <w:rFonts w:hint="eastAsia" w:eastAsia="仿宋_GB2312"/>
          <w:color w:val="000000"/>
          <w:sz w:val="32"/>
        </w:rPr>
      </w:pPr>
    </w:p>
    <w:p w14:paraId="2A4CCFD2">
      <w:pPr>
        <w:spacing w:line="360" w:lineRule="auto"/>
        <w:jc w:val="center"/>
        <w:rPr>
          <w:rFonts w:hint="eastAsia" w:eastAsia="仿宋_GB2312"/>
          <w:color w:val="000000"/>
          <w:sz w:val="32"/>
        </w:rPr>
      </w:pPr>
    </w:p>
    <w:p w14:paraId="316EE417">
      <w:pPr>
        <w:spacing w:line="360" w:lineRule="auto"/>
        <w:jc w:val="center"/>
        <w:rPr>
          <w:rFonts w:hint="eastAsia" w:eastAsia="仿宋_GB2312"/>
          <w:color w:val="000000"/>
          <w:sz w:val="32"/>
        </w:rPr>
      </w:pPr>
    </w:p>
    <w:p w14:paraId="3FE1686C">
      <w:pPr>
        <w:spacing w:line="360" w:lineRule="auto"/>
        <w:jc w:val="center"/>
        <w:rPr>
          <w:rFonts w:hint="eastAsia" w:eastAsia="仿宋_GB2312"/>
          <w:color w:val="000000"/>
          <w:sz w:val="28"/>
          <w:szCs w:val="18"/>
        </w:rPr>
      </w:pPr>
    </w:p>
    <w:p w14:paraId="755504A1">
      <w:pPr>
        <w:spacing w:line="360" w:lineRule="auto"/>
        <w:jc w:val="center"/>
        <w:rPr>
          <w:rFonts w:hint="eastAsia" w:ascii="宋体"/>
          <w:color w:val="000000"/>
          <w:sz w:val="28"/>
          <w:szCs w:val="18"/>
        </w:rPr>
      </w:pPr>
      <w:r>
        <w:rPr>
          <w:rFonts w:hint="eastAsia" w:ascii="宋体"/>
          <w:color w:val="000000"/>
          <w:sz w:val="28"/>
          <w:szCs w:val="18"/>
        </w:rPr>
        <w:t>中国研究生企业管理创新大赛</w:t>
      </w:r>
    </w:p>
    <w:p w14:paraId="1AF9B008">
      <w:pPr>
        <w:spacing w:line="360" w:lineRule="auto"/>
        <w:jc w:val="center"/>
        <w:rPr>
          <w:rFonts w:hint="eastAsia" w:ascii="宋体"/>
          <w:color w:val="000000"/>
          <w:sz w:val="28"/>
          <w:szCs w:val="18"/>
        </w:rPr>
      </w:pPr>
      <w:r>
        <w:rPr>
          <w:rFonts w:hint="eastAsia" w:ascii="宋体"/>
          <w:color w:val="000000"/>
          <w:sz w:val="28"/>
          <w:szCs w:val="18"/>
          <w:lang w:val="en-US" w:eastAsia="zh-CN"/>
        </w:rPr>
        <w:t>组委会</w:t>
      </w:r>
      <w:r>
        <w:rPr>
          <w:rFonts w:hint="eastAsia" w:ascii="宋体"/>
          <w:color w:val="000000"/>
          <w:sz w:val="28"/>
          <w:szCs w:val="18"/>
        </w:rPr>
        <w:t>制</w:t>
      </w:r>
    </w:p>
    <w:p w14:paraId="42FCB071">
      <w:pPr>
        <w:spacing w:line="360" w:lineRule="auto"/>
        <w:jc w:val="center"/>
        <w:rPr>
          <w:rFonts w:hint="eastAsia" w:ascii="宋体"/>
          <w:color w:val="000000"/>
          <w:sz w:val="28"/>
          <w:szCs w:val="18"/>
        </w:rPr>
      </w:pPr>
      <w:r>
        <w:rPr>
          <w:rFonts w:hint="eastAsia" w:ascii="宋体"/>
          <w:color w:val="000000"/>
          <w:sz w:val="28"/>
          <w:szCs w:val="18"/>
        </w:rPr>
        <w:t>202</w:t>
      </w:r>
      <w:r>
        <w:rPr>
          <w:rFonts w:hint="eastAsia" w:ascii="宋体"/>
          <w:color w:val="000000"/>
          <w:sz w:val="28"/>
          <w:szCs w:val="18"/>
          <w:lang w:val="en-US" w:eastAsia="zh-CN"/>
        </w:rPr>
        <w:t>4</w:t>
      </w:r>
      <w:r>
        <w:rPr>
          <w:rFonts w:hint="eastAsia" w:ascii="宋体"/>
          <w:color w:val="000000"/>
          <w:sz w:val="28"/>
          <w:szCs w:val="18"/>
        </w:rPr>
        <w:t>年</w:t>
      </w:r>
      <w:r>
        <w:rPr>
          <w:rFonts w:hint="eastAsia" w:ascii="宋体"/>
          <w:color w:val="000000"/>
          <w:sz w:val="28"/>
          <w:szCs w:val="18"/>
          <w:lang w:val="en-US" w:eastAsia="zh-CN"/>
        </w:rPr>
        <w:t>7</w:t>
      </w:r>
      <w:r>
        <w:rPr>
          <w:rFonts w:hint="eastAsia" w:ascii="宋体"/>
          <w:color w:val="000000"/>
          <w:sz w:val="28"/>
          <w:szCs w:val="18"/>
        </w:rPr>
        <w:t>月</w:t>
      </w:r>
    </w:p>
    <w:p w14:paraId="3DC8C1D1">
      <w:pPr>
        <w:spacing w:line="360" w:lineRule="auto"/>
        <w:rPr>
          <w:rFonts w:hint="eastAsia" w:ascii="黑体" w:eastAsia="黑体"/>
          <w:color w:val="000000"/>
          <w:sz w:val="30"/>
          <w:szCs w:val="30"/>
        </w:rPr>
      </w:pPr>
    </w:p>
    <w:p w14:paraId="58F8965C">
      <w:pPr>
        <w:spacing w:line="360" w:lineRule="auto"/>
        <w:rPr>
          <w:rFonts w:hint="eastAsia" w:ascii="黑体" w:eastAsia="黑体"/>
          <w:color w:val="000000"/>
          <w:sz w:val="30"/>
          <w:szCs w:val="30"/>
        </w:rPr>
      </w:pPr>
    </w:p>
    <w:p w14:paraId="20266A66">
      <w:pPr>
        <w:spacing w:after="62" w:afterLines="20" w:line="360" w:lineRule="auto"/>
        <w:jc w:val="center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填 写 说 明</w:t>
      </w:r>
    </w:p>
    <w:p w14:paraId="2872B89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360" w:lineRule="auto"/>
        <w:ind w:firstLine="561"/>
        <w:textAlignment w:val="auto"/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本届大赛项目报告模板仅供参考，各个团队可根据具体情况进行调整与修改，但要求</w:t>
      </w:r>
      <w:r>
        <w:rPr>
          <w:rFonts w:hint="eastAsia" w:ascii="仿宋_GB2312" w:eastAsia="仿宋_GB2312"/>
          <w:b/>
          <w:bCs/>
          <w:color w:val="000000"/>
          <w:sz w:val="28"/>
          <w:szCs w:val="28"/>
          <w:lang w:val="en-US" w:eastAsia="zh-CN"/>
        </w:rPr>
        <w:t>项目报告封面须包含项目名称与团队名称信息（注：团队名称中不得包含学校、个人等身份信息）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；可删除模板中标题括号内的说明性文字，也可以对标题进行适当调整；</w:t>
      </w:r>
    </w:p>
    <w:p w14:paraId="40D367F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360" w:lineRule="auto"/>
        <w:ind w:firstLine="561"/>
        <w:textAlignment w:val="auto"/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bCs/>
          <w:color w:val="000000"/>
          <w:sz w:val="28"/>
          <w:szCs w:val="28"/>
          <w:lang w:val="en-US" w:eastAsia="zh-CN"/>
        </w:rPr>
        <w:t>报告命题需从企业命题手册中本校可选的命题范围内选择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，企业命题手册将在官方公众号公布；可适当对命题题目进行修改，但需要与命题的基本方向与要求保持一致，题目长度一般不超过四十个字；</w:t>
      </w:r>
      <w:bookmarkStart w:id="0" w:name="_GoBack"/>
      <w:bookmarkEnd w:id="0"/>
    </w:p>
    <w:p w14:paraId="6C36F1E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360" w:lineRule="auto"/>
        <w:ind w:firstLine="561"/>
        <w:textAlignment w:val="auto"/>
        <w:rPr>
          <w:rFonts w:hint="eastAsia" w:ascii="仿宋_GB2312" w:eastAsia="仿宋_GB2312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eastAsia="仿宋_GB2312"/>
          <w:color w:val="000000"/>
          <w:sz w:val="28"/>
          <w:szCs w:val="28"/>
          <w:highlight w:val="none"/>
          <w:lang w:val="en-US" w:eastAsia="zh-CN"/>
        </w:rPr>
        <w:t>报告总字数要求在10000-20000字，</w:t>
      </w:r>
      <w:r>
        <w:rPr>
          <w:rFonts w:hint="eastAsia" w:ascii="仿宋_GB2312" w:eastAsia="仿宋_GB2312"/>
          <w:b/>
          <w:bCs/>
          <w:color w:val="000000"/>
          <w:sz w:val="28"/>
          <w:szCs w:val="28"/>
          <w:highlight w:val="none"/>
          <w:lang w:val="en-US" w:eastAsia="zh-CN"/>
        </w:rPr>
        <w:t>报告主体内容应包括商业分析报告、管理决策建议与智能应用解决方案、实施方案等部分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lang w:val="en-US" w:eastAsia="zh-CN"/>
        </w:rPr>
        <w:t>，具体内容要求与打分项可参考项目报告的评分标准；</w:t>
      </w:r>
    </w:p>
    <w:p w14:paraId="4EC6CDD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360" w:lineRule="auto"/>
        <w:ind w:firstLine="561"/>
        <w:textAlignment w:val="auto"/>
        <w:rPr>
          <w:rFonts w:hint="default" w:ascii="仿宋_GB2312" w:eastAsia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bCs/>
          <w:color w:val="000000"/>
          <w:sz w:val="28"/>
          <w:szCs w:val="28"/>
          <w:lang w:val="en-US" w:eastAsia="zh-CN"/>
        </w:rPr>
        <w:t>报告中不得出现团队成员姓名、学校、指导老师等身份信息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，以符合匿名评审的要求，否则将取消团队参赛资格；</w:t>
      </w:r>
    </w:p>
    <w:p w14:paraId="09A25D8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360" w:lineRule="auto"/>
        <w:ind w:firstLine="561"/>
        <w:textAlignment w:val="auto"/>
        <w:rPr>
          <w:rFonts w:hint="default" w:ascii="仿宋_GB2312" w:eastAsia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提交项目书时，需要同时提交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lang w:val="en-US" w:eastAsia="zh-CN"/>
        </w:rPr>
        <w:t>Word与PDF格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式文件。</w:t>
      </w:r>
    </w:p>
    <w:p w14:paraId="041A2877">
      <w:pPr>
        <w:spacing w:line="360" w:lineRule="auto"/>
        <w:rPr>
          <w:rFonts w:hint="eastAsia" w:eastAsia="黑体"/>
          <w:color w:val="000000"/>
          <w:sz w:val="32"/>
          <w:lang w:val="en-US" w:eastAsia="zh-CN"/>
        </w:rPr>
      </w:pPr>
      <w:r>
        <w:rPr>
          <w:rFonts w:hint="eastAsia" w:ascii="黑体" w:eastAsia="黑体"/>
          <w:color w:val="000000"/>
          <w:sz w:val="32"/>
          <w:szCs w:val="32"/>
        </w:rPr>
        <w:br w:type="page"/>
      </w:r>
    </w:p>
    <w:p w14:paraId="439011FE">
      <w:pPr>
        <w:spacing w:line="360" w:lineRule="auto"/>
        <w:rPr>
          <w:rFonts w:eastAsia="黑体"/>
          <w:color w:val="000000"/>
          <w:sz w:val="32"/>
        </w:rPr>
      </w:pPr>
      <w:r>
        <w:rPr>
          <w:rFonts w:hint="eastAsia" w:eastAsia="黑体"/>
          <w:color w:val="000000"/>
          <w:sz w:val="32"/>
          <w:lang w:val="en-US" w:eastAsia="zh-CN"/>
        </w:rPr>
        <w:t>第</w:t>
      </w:r>
      <w:r>
        <w:rPr>
          <w:rFonts w:hint="eastAsia" w:eastAsia="黑体"/>
          <w:color w:val="000000"/>
          <w:sz w:val="32"/>
          <w:lang w:val="en-US" w:eastAsia="zh-Hans"/>
        </w:rPr>
        <w:t>一</w:t>
      </w:r>
      <w:r>
        <w:rPr>
          <w:rFonts w:hint="eastAsia" w:eastAsia="黑体"/>
          <w:color w:val="000000"/>
          <w:sz w:val="32"/>
          <w:lang w:val="en-US" w:eastAsia="zh-CN"/>
        </w:rPr>
        <w:t>部分：项目基本信息</w:t>
      </w:r>
    </w:p>
    <w:tbl>
      <w:tblPr>
        <w:tblStyle w:val="10"/>
        <w:tblW w:w="958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8252"/>
      </w:tblGrid>
      <w:tr w14:paraId="348234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1336" w:type="dxa"/>
            <w:noWrap w:val="0"/>
            <w:vAlign w:val="center"/>
          </w:tcPr>
          <w:p w14:paraId="30AFA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color w:val="000000"/>
                <w:sz w:val="21"/>
                <w:szCs w:val="21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  <w:szCs w:val="24"/>
                <w:lang w:val="en-US" w:eastAsia="zh-CN"/>
              </w:rPr>
              <w:t>项目标题</w:t>
            </w:r>
          </w:p>
        </w:tc>
        <w:tc>
          <w:tcPr>
            <w:tcW w:w="8252" w:type="dxa"/>
            <w:noWrap w:val="0"/>
            <w:vAlign w:val="center"/>
          </w:tcPr>
          <w:p w14:paraId="587B5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0BE57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2" w:hRule="atLeast"/>
          <w:jc w:val="center"/>
        </w:trPr>
        <w:tc>
          <w:tcPr>
            <w:tcW w:w="9588" w:type="dxa"/>
            <w:gridSpan w:val="2"/>
            <w:noWrap w:val="0"/>
            <w:vAlign w:val="top"/>
          </w:tcPr>
          <w:p w14:paraId="01E6F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center"/>
              <w:textAlignment w:val="auto"/>
              <w:rPr>
                <w:rFonts w:hint="eastAsia" w:ascii="宋体"/>
                <w:b/>
                <w:bCs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  <w:szCs w:val="24"/>
                <w:lang w:val="en-US" w:eastAsia="zh-Hans"/>
              </w:rPr>
              <w:t>摘要</w:t>
            </w:r>
          </w:p>
          <w:p w14:paraId="786B4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center"/>
              <w:textAlignment w:val="auto"/>
              <w:rPr>
                <w:rFonts w:hint="eastAsia" w:ascii="宋体" w:eastAsia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（简要说明项目报告的整体内容，包括商业分析报告的研究背景与问题、研究设计、数据收集与分析、研究结果，以及针对商业分析报告的研究发现，提出的管理决策建议与智能应用解决方案，包括整体解决方案、可行性分析、具体实施方案、预期效果评价等）</w:t>
            </w:r>
          </w:p>
          <w:p w14:paraId="7E826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</w:tbl>
    <w:p w14:paraId="71EF3784">
      <w:pPr>
        <w:spacing w:line="360" w:lineRule="auto"/>
        <w:rPr>
          <w:rFonts w:eastAsia="黑体"/>
          <w:color w:val="000000"/>
          <w:sz w:val="32"/>
        </w:rPr>
      </w:pPr>
      <w:r>
        <w:rPr>
          <w:rFonts w:hint="eastAsia" w:eastAsia="黑体"/>
          <w:color w:val="000000"/>
          <w:sz w:val="32"/>
          <w:lang w:val="en-US" w:eastAsia="zh-CN"/>
        </w:rPr>
        <w:t>第二部分：商业分析报告</w:t>
      </w:r>
    </w:p>
    <w:tbl>
      <w:tblPr>
        <w:tblStyle w:val="10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8"/>
      </w:tblGrid>
      <w:tr w14:paraId="7E078E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9" w:hRule="atLeast"/>
          <w:jc w:val="center"/>
        </w:trPr>
        <w:tc>
          <w:tcPr>
            <w:tcW w:w="9588" w:type="dxa"/>
            <w:noWrap w:val="0"/>
            <w:vAlign w:val="top"/>
          </w:tcPr>
          <w:p w14:paraId="28709DD0">
            <w:pPr>
              <w:spacing w:before="156" w:beforeLines="50" w:line="360" w:lineRule="auto"/>
              <w:ind w:firstLine="482" w:firstLineChars="200"/>
              <w:rPr>
                <w:rFonts w:hint="eastAsia" w:ascii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  <w:szCs w:val="24"/>
                <w:lang w:val="en-US" w:eastAsia="zh-CN"/>
              </w:rPr>
              <w:t>该部分是针对企业存在的问题，进行商业分析，通过研究设计、数据收集与分析，得出研究结论。该部分的研究对象通常是企业在生产、经营、管理中存在的问题，利用企业在日常经营过程中产生的数据，或是调研数据，并将它们转化为信息和知识，从而让相关的管理决策、战略规划、智能应用解决方案都有数据可供参考。</w:t>
            </w:r>
          </w:p>
          <w:p w14:paraId="7F59E0BE">
            <w:pPr>
              <w:spacing w:before="156" w:beforeLines="50" w:line="360" w:lineRule="auto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  <w:szCs w:val="24"/>
                <w:lang w:val="en-US" w:eastAsia="zh-CN"/>
              </w:rPr>
              <w:t>一、研究</w:t>
            </w:r>
            <w:r>
              <w:rPr>
                <w:rFonts w:hint="eastAsia" w:ascii="宋体"/>
                <w:b/>
                <w:bCs/>
                <w:color w:val="000000"/>
                <w:sz w:val="24"/>
                <w:szCs w:val="24"/>
              </w:rPr>
              <w:t>背景与问题</w:t>
            </w:r>
          </w:p>
          <w:p w14:paraId="730C7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（1、针对企业的特定问题与高层沟通，结合宏观数据与行业信息，梳理并确定企业面临的主要问题。2、将问题转换为信息需求，进而明确调研目的和具体目标。）</w:t>
            </w:r>
          </w:p>
          <w:p w14:paraId="2FCB9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</w:pPr>
          </w:p>
          <w:p w14:paraId="0DDAB6AA">
            <w:pPr>
              <w:numPr>
                <w:ilvl w:val="0"/>
                <w:numId w:val="0"/>
              </w:numPr>
              <w:spacing w:before="156" w:beforeLines="50" w:line="360" w:lineRule="auto"/>
              <w:rPr>
                <w:rFonts w:hint="eastAsia"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  <w:szCs w:val="24"/>
                <w:lang w:val="en-US" w:eastAsia="zh-CN"/>
              </w:rPr>
              <w:t>二、研究</w:t>
            </w:r>
            <w:r>
              <w:rPr>
                <w:rFonts w:hint="eastAsia" w:ascii="宋体"/>
                <w:b/>
                <w:bCs/>
                <w:color w:val="000000"/>
                <w:sz w:val="24"/>
                <w:szCs w:val="24"/>
              </w:rPr>
              <w:t>设计</w:t>
            </w:r>
          </w:p>
          <w:p w14:paraId="71870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（科学规范的研究设计是数据质量与研究结论的保证，具体维度包括：1、科学合理的调研目标与研究框架的设计；2、精心设计的调研流程，具体表现在定量调研中量表和问卷的设计，以及定性研究中的访谈提纲等；3、</w:t>
            </w:r>
            <w:r>
              <w:rPr>
                <w:rFonts w:hint="eastAsia" w:ascii="宋体"/>
                <w:color w:val="000000"/>
                <w:sz w:val="24"/>
                <w:szCs w:val="24"/>
                <w:highlight w:val="none"/>
                <w:lang w:val="en-US" w:eastAsia="zh-CN"/>
              </w:rPr>
              <w:t>调研对象的选择合理性和规模，包括样本的合理性或饱和度；4、</w:t>
            </w: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变量选择、分</w:t>
            </w:r>
            <w:r>
              <w:rPr>
                <w:rFonts w:hint="eastAsia" w:ascii="宋体"/>
                <w:color w:val="000000"/>
                <w:sz w:val="24"/>
                <w:szCs w:val="24"/>
                <w:highlight w:val="none"/>
                <w:lang w:val="en-US" w:eastAsia="zh-CN"/>
              </w:rPr>
              <w:t>析方法的选择及其理由，能够有效分析提出的研究问题</w:t>
            </w: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）</w:t>
            </w:r>
          </w:p>
          <w:p w14:paraId="5AF38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</w:pPr>
          </w:p>
          <w:p w14:paraId="29EEF949">
            <w:pPr>
              <w:numPr>
                <w:ilvl w:val="0"/>
                <w:numId w:val="0"/>
              </w:numPr>
              <w:spacing w:before="156" w:beforeLines="50" w:line="360" w:lineRule="auto"/>
              <w:ind w:leftChars="0"/>
              <w:rPr>
                <w:rFonts w:hint="eastAsia"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  <w:szCs w:val="24"/>
                <w:lang w:val="en-US" w:eastAsia="zh-CN"/>
              </w:rPr>
              <w:t>三、</w:t>
            </w:r>
            <w:r>
              <w:rPr>
                <w:rFonts w:hint="eastAsia" w:ascii="宋体"/>
                <w:b/>
                <w:bCs/>
                <w:color w:val="000000"/>
                <w:sz w:val="24"/>
                <w:szCs w:val="24"/>
              </w:rPr>
              <w:t>数据</w:t>
            </w:r>
            <w:r>
              <w:rPr>
                <w:rFonts w:hint="eastAsia" w:ascii="宋体"/>
                <w:b/>
                <w:bCs/>
                <w:color w:val="000000"/>
                <w:sz w:val="24"/>
                <w:szCs w:val="24"/>
                <w:lang w:val="en-US" w:eastAsia="zh-CN"/>
              </w:rPr>
              <w:t>收集与</w:t>
            </w:r>
            <w:r>
              <w:rPr>
                <w:rFonts w:hint="eastAsia" w:ascii="宋体"/>
                <w:b/>
                <w:bCs/>
                <w:color w:val="000000"/>
                <w:sz w:val="24"/>
                <w:szCs w:val="24"/>
              </w:rPr>
              <w:t>分析</w:t>
            </w:r>
          </w:p>
          <w:p w14:paraId="5F980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（1、数据收集的实施过程，以及线上调研数据实时收集平台的使用等；2、问卷数据的时效性，数据需在比赛期间收集数据；3、分析不追求复杂高深，但是必须符合统计规范和恰当解决问题，包括数据的预处理、数据的分析方法和先进的统计分析软件或平台的使用）</w:t>
            </w:r>
          </w:p>
          <w:p w14:paraId="18BB1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</w:pPr>
          </w:p>
          <w:p w14:paraId="55BD5785">
            <w:pPr>
              <w:numPr>
                <w:ilvl w:val="0"/>
                <w:numId w:val="0"/>
              </w:numPr>
              <w:spacing w:before="156" w:beforeLines="50" w:line="360" w:lineRule="auto"/>
              <w:ind w:leftChars="0"/>
              <w:rPr>
                <w:rFonts w:hint="default" w:asci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  <w:szCs w:val="24"/>
                <w:lang w:val="en-US" w:eastAsia="zh-CN"/>
              </w:rPr>
              <w:t>四、研究结论</w:t>
            </w:r>
          </w:p>
          <w:p w14:paraId="2A0C3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  <w:t>（主要包括对分析结果的清晰呈现和准确解读，研究结果对决策问题的支持和辅助程度，</w:t>
            </w: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为后续管理决策建议与智能应用解决方案的提出提供依据</w:t>
            </w:r>
            <w:r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6861201E">
      <w:pPr>
        <w:spacing w:line="360" w:lineRule="auto"/>
        <w:rPr>
          <w:rFonts w:hint="default" w:ascii="楷体_GB2312" w:eastAsia="黑体"/>
          <w:color w:val="000000"/>
          <w:highlight w:val="none"/>
          <w:lang w:val="en-US" w:eastAsia="zh-CN"/>
        </w:rPr>
      </w:pPr>
      <w:r>
        <w:rPr>
          <w:rFonts w:hint="eastAsia" w:eastAsia="黑体"/>
          <w:color w:val="000000"/>
          <w:sz w:val="32"/>
          <w:highlight w:val="none"/>
          <w:lang w:val="en-US" w:eastAsia="zh-CN"/>
        </w:rPr>
        <w:t>第三部分</w:t>
      </w:r>
      <w:r>
        <w:rPr>
          <w:rFonts w:hint="eastAsia" w:eastAsia="黑体"/>
          <w:color w:val="000000"/>
          <w:sz w:val="32"/>
          <w:highlight w:val="none"/>
          <w:lang w:eastAsia="zh-CN"/>
        </w:rPr>
        <w:t>：</w:t>
      </w:r>
      <w:r>
        <w:rPr>
          <w:rFonts w:hint="eastAsia" w:eastAsia="黑体"/>
          <w:color w:val="000000"/>
          <w:sz w:val="32"/>
          <w:highlight w:val="none"/>
          <w:lang w:val="en-US" w:eastAsia="zh-CN"/>
        </w:rPr>
        <w:t>管理决策建议与</w:t>
      </w:r>
      <w:r>
        <w:rPr>
          <w:rFonts w:hint="eastAsia" w:eastAsia="黑体"/>
          <w:color w:val="000000"/>
          <w:sz w:val="32"/>
          <w:highlight w:val="none"/>
          <w:lang w:eastAsia="zh-CN"/>
        </w:rPr>
        <w:t>智能应用解决方案</w:t>
      </w:r>
    </w:p>
    <w:tbl>
      <w:tblPr>
        <w:tblStyle w:val="10"/>
        <w:tblW w:w="0" w:type="auto"/>
        <w:tblInd w:w="-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 w14:paraId="50DACD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8" w:hRule="atLeast"/>
        </w:trPr>
        <w:tc>
          <w:tcPr>
            <w:tcW w:w="9540" w:type="dxa"/>
            <w:noWrap w:val="0"/>
            <w:vAlign w:val="top"/>
          </w:tcPr>
          <w:p w14:paraId="648D03B9">
            <w:pPr>
              <w:numPr>
                <w:ilvl w:val="0"/>
                <w:numId w:val="0"/>
              </w:numPr>
              <w:spacing w:before="156" w:beforeLines="50" w:line="360" w:lineRule="auto"/>
              <w:ind w:leftChars="0" w:right="74" w:rightChars="0" w:firstLine="482" w:firstLineChars="200"/>
              <w:jc w:val="left"/>
              <w:rPr>
                <w:rFonts w:hint="eastAsia" w:ascii="宋体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针对商业分析报告中的企业问题与研究发现，提出有针对性的管理决策建议与智能应用解决方案，以解决企业面临的问题。管理决策建议应当是基于商业分析报告中的企业问题与研究发现，对企业生产、管理、营销或服务等环节的提出的优化建议与解决方案，其中的解决方案应当包含智能应用解决方案。智能应用解决方案是指通过对人工智能、物联网、云计算、大数据等技术的应用，在特定的应用场景中，为企业赋能并解决实际问题，以达到提升效率、优化决策、降低成本、改善体验、增强竞争力等目的。</w:t>
            </w:r>
          </w:p>
          <w:p w14:paraId="242F4CE4">
            <w:pPr>
              <w:numPr>
                <w:ilvl w:val="0"/>
                <w:numId w:val="0"/>
              </w:numPr>
              <w:spacing w:before="156" w:beforeLines="50" w:line="360" w:lineRule="auto"/>
              <w:ind w:right="74" w:rightChars="0"/>
              <w:jc w:val="left"/>
              <w:rPr>
                <w:rFonts w:hint="eastAsia" w:ascii="宋体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一、管理决策建议</w:t>
            </w:r>
          </w:p>
          <w:p w14:paraId="4D7D96D8">
            <w:pPr>
              <w:numPr>
                <w:ilvl w:val="0"/>
                <w:numId w:val="0"/>
              </w:numPr>
              <w:spacing w:before="156" w:beforeLines="50" w:line="360" w:lineRule="auto"/>
              <w:ind w:right="74" w:rightChars="0"/>
              <w:jc w:val="left"/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>根据</w:t>
            </w: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商业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>分析</w:t>
            </w: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报告研究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>结果，能够提出具体的</w:t>
            </w: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管理建议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>与实施方案，能够具体解决之前提出的</w:t>
            </w: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企业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>问题，具有一定的商业价值</w:t>
            </w: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与社会价值</w:t>
            </w:r>
            <w:r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  <w:t>）</w:t>
            </w:r>
          </w:p>
          <w:p w14:paraId="2E76C5A0">
            <w:pPr>
              <w:numPr>
                <w:ilvl w:val="0"/>
                <w:numId w:val="0"/>
              </w:numPr>
              <w:spacing w:before="156" w:beforeLines="50" w:line="360" w:lineRule="auto"/>
              <w:ind w:right="74" w:rightChars="0"/>
              <w:jc w:val="left"/>
              <w:rPr>
                <w:rFonts w:hint="default" w:ascii="宋体"/>
                <w:color w:val="000000"/>
                <w:sz w:val="24"/>
                <w:szCs w:val="24"/>
                <w:lang w:val="en-US" w:eastAsia="zh-CN"/>
              </w:rPr>
            </w:pPr>
          </w:p>
          <w:p w14:paraId="645D99D2">
            <w:pPr>
              <w:numPr>
                <w:ilvl w:val="0"/>
                <w:numId w:val="0"/>
              </w:numPr>
              <w:spacing w:before="156" w:beforeLines="50" w:line="360" w:lineRule="auto"/>
              <w:ind w:right="74" w:rightChars="0"/>
              <w:jc w:val="left"/>
              <w:rPr>
                <w:rFonts w:hint="eastAsia" w:ascii="宋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二、</w:t>
            </w:r>
            <w:r>
              <w:rPr>
                <w:rFonts w:hint="eastAsia" w:ascii="宋体"/>
                <w:b/>
                <w:bCs/>
                <w:color w:val="000000"/>
                <w:sz w:val="24"/>
                <w:szCs w:val="24"/>
                <w:highlight w:val="none"/>
              </w:rPr>
              <w:t>智能应用</w:t>
            </w:r>
            <w:r>
              <w:rPr>
                <w:rFonts w:hint="eastAsia" w:ascii="宋体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解决</w:t>
            </w:r>
            <w:r>
              <w:rPr>
                <w:rFonts w:hint="eastAsia" w:ascii="宋体"/>
                <w:b/>
                <w:bCs/>
                <w:color w:val="000000"/>
                <w:sz w:val="24"/>
                <w:szCs w:val="24"/>
                <w:highlight w:val="none"/>
              </w:rPr>
              <w:t>方案</w:t>
            </w:r>
          </w:p>
          <w:p w14:paraId="12F8B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  <w:t>（1、智能应用解决方案在企业实际经营中具有清晰明确的应</w:t>
            </w:r>
            <w:r>
              <w:rPr>
                <w:rFonts w:hint="eastAsia" w:ascii="宋体"/>
                <w:color w:val="000000"/>
                <w:sz w:val="24"/>
                <w:szCs w:val="24"/>
                <w:highlight w:val="none"/>
                <w:lang w:eastAsia="zh-CN"/>
              </w:rPr>
              <w:t>用场景；2</w:t>
            </w:r>
            <w:r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  <w:t>、同时能合理恰当地解决企业的相关问题；3、能够创新地使用智能</w:t>
            </w: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应用</w:t>
            </w:r>
            <w:r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  <w:t>为企业</w:t>
            </w: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赋能；4、解决方案可以是策划方案，也可以是搭建具体智能应用的设计方案</w:t>
            </w:r>
            <w:r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  <w:t>）</w:t>
            </w:r>
          </w:p>
          <w:p w14:paraId="5A009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</w:pPr>
          </w:p>
          <w:p w14:paraId="7895DDAC">
            <w:pPr>
              <w:numPr>
                <w:ilvl w:val="0"/>
                <w:numId w:val="0"/>
              </w:numPr>
              <w:spacing w:before="156" w:beforeLines="50" w:line="360" w:lineRule="auto"/>
              <w:ind w:leftChars="0" w:right="74" w:rightChars="0"/>
              <w:jc w:val="left"/>
              <w:rPr>
                <w:rFonts w:hint="eastAsia" w:ascii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  <w:szCs w:val="24"/>
                <w:lang w:val="en-US" w:eastAsia="zh-CN"/>
              </w:rPr>
              <w:t>三、可行性分析</w:t>
            </w:r>
          </w:p>
          <w:p w14:paraId="1D900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>、结合企业实际情况和方案内容，测算并提出预期财务指标、投入产出等</w:t>
            </w:r>
            <w:r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2、所提建议能切实结合所研究企业资源能力和市场实际情况，在企业管理和经营中有较强的可执行性</w:t>
            </w:r>
            <w:r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  <w:t>）</w:t>
            </w:r>
          </w:p>
          <w:p w14:paraId="447DC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</w:pPr>
          </w:p>
          <w:p w14:paraId="2A928BDE">
            <w:pPr>
              <w:numPr>
                <w:ilvl w:val="0"/>
                <w:numId w:val="0"/>
              </w:numPr>
              <w:spacing w:before="156" w:beforeLines="50" w:line="360" w:lineRule="auto"/>
              <w:ind w:leftChars="0" w:right="74" w:rightChars="0"/>
              <w:jc w:val="left"/>
              <w:rPr>
                <w:rFonts w:hint="eastAsia" w:ascii="宋体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b/>
                <w:bCs w:val="0"/>
                <w:color w:val="000000"/>
                <w:sz w:val="24"/>
                <w:szCs w:val="24"/>
                <w:lang w:val="en-US" w:eastAsia="zh-CN"/>
              </w:rPr>
              <w:t>四、</w:t>
            </w:r>
            <w:r>
              <w:rPr>
                <w:rFonts w:hint="eastAsia" w:ascii="宋体"/>
                <w:b/>
                <w:bCs w:val="0"/>
                <w:color w:val="000000"/>
                <w:sz w:val="24"/>
                <w:szCs w:val="24"/>
              </w:rPr>
              <w:t>预期效果评价</w:t>
            </w:r>
          </w:p>
          <w:p w14:paraId="43848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包括商业价值与社会价值两方面：1、管理决策建议与智能应用解决方案能体现商业分析的结果；2、内容及建议具有一定的专业性、合理性、智能性及创新性；3、对企业的实际发展有一定的启发、参考和借鉴作用；4、能够促进社会良性发展，体现社会责任感和商业伦理道德</w:t>
            </w:r>
            <w:r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</w:tbl>
    <w:p w14:paraId="381CE623">
      <w:pPr>
        <w:spacing w:line="360" w:lineRule="auto"/>
        <w:rPr>
          <w:rFonts w:hint="default" w:ascii="楷体_GB2312" w:eastAsia="黑体"/>
          <w:color w:val="000000"/>
          <w:highlight w:val="yellow"/>
          <w:lang w:val="en-US" w:eastAsia="zh-CN"/>
        </w:rPr>
      </w:pPr>
      <w:r>
        <w:rPr>
          <w:rFonts w:hint="eastAsia" w:eastAsia="黑体"/>
          <w:color w:val="000000"/>
          <w:sz w:val="32"/>
          <w:highlight w:val="none"/>
          <w:lang w:val="en-US" w:eastAsia="zh-CN"/>
        </w:rPr>
        <w:t>第四部分</w:t>
      </w:r>
      <w:r>
        <w:rPr>
          <w:rFonts w:hint="eastAsia" w:eastAsia="黑体"/>
          <w:color w:val="000000"/>
          <w:sz w:val="32"/>
          <w:highlight w:val="none"/>
          <w:lang w:eastAsia="zh-CN"/>
        </w:rPr>
        <w:t>：</w:t>
      </w:r>
      <w:r>
        <w:rPr>
          <w:rFonts w:hint="eastAsia" w:eastAsia="黑体"/>
          <w:color w:val="000000"/>
          <w:sz w:val="32"/>
          <w:highlight w:val="none"/>
          <w:lang w:val="en-US" w:eastAsia="zh-CN"/>
        </w:rPr>
        <w:t>实施方案</w:t>
      </w:r>
    </w:p>
    <w:tbl>
      <w:tblPr>
        <w:tblStyle w:val="10"/>
        <w:tblW w:w="0" w:type="auto"/>
        <w:tblInd w:w="-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 w14:paraId="7FC26C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8" w:hRule="atLeast"/>
        </w:trPr>
        <w:tc>
          <w:tcPr>
            <w:tcW w:w="9540" w:type="dxa"/>
            <w:noWrap w:val="0"/>
            <w:vAlign w:val="top"/>
          </w:tcPr>
          <w:p w14:paraId="65E832BF">
            <w:pPr>
              <w:numPr>
                <w:ilvl w:val="0"/>
                <w:numId w:val="0"/>
              </w:numPr>
              <w:spacing w:before="156" w:beforeLines="50" w:line="360" w:lineRule="auto"/>
              <w:ind w:leftChars="0" w:right="74" w:rightChars="0" w:firstLine="482" w:firstLineChars="200"/>
              <w:jc w:val="left"/>
              <w:rPr>
                <w:rFonts w:hint="eastAsia" w:ascii="宋体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在管理决策建议或智能应用解决方案中，结合企业实际的资金、人员、资源等现有条件，选择优先级最高的一个，进一步进行详细解读，让企业可以用于实际商业活动执行，即所提方案建议中必须明确指出哪一个方案是企业应该具体实施的，同时具体说明为什么和怎么做，以及实施效果，便于企业做出决策与实践落地。</w:t>
            </w:r>
          </w:p>
          <w:p w14:paraId="771F7B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  <w:p w14:paraId="0A4FA3A1">
            <w:pPr>
              <w:spacing w:line="360" w:lineRule="auto"/>
              <w:ind w:left="74" w:right="74" w:firstLine="391"/>
              <w:jc w:val="left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</w:tbl>
    <w:p w14:paraId="67AA37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黑体" w:hAnsi="黑体" w:eastAsia="黑体" w:cs="黑体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附录</w:t>
      </w:r>
    </w:p>
    <w:p w14:paraId="55EA9B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color w:val="000000"/>
          <w:sz w:val="28"/>
          <w:szCs w:val="28"/>
          <w:lang w:val="en-US" w:eastAsia="zh-Hans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Hans"/>
        </w:rPr>
        <w:t>报告正文部分排版建议</w:t>
      </w:r>
    </w:p>
    <w:p w14:paraId="6CED80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color w:val="000000"/>
          <w:sz w:val="28"/>
          <w:szCs w:val="28"/>
          <w:lang w:val="en-US" w:eastAsia="zh-Hans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Hans"/>
        </w:rPr>
        <w:t>一级标题</w:t>
      </w:r>
      <w:r>
        <w:rPr>
          <w:rFonts w:hint="eastAsia"/>
          <w:color w:val="000000"/>
          <w:sz w:val="28"/>
          <w:szCs w:val="28"/>
          <w:lang w:val="en-US" w:eastAsia="zh-Hans"/>
        </w:rPr>
        <w:t>（黑体、四号）</w:t>
      </w:r>
    </w:p>
    <w:p w14:paraId="3876A6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color w:val="000000"/>
          <w:sz w:val="28"/>
          <w:szCs w:val="28"/>
          <w:lang w:val="en-US" w:eastAsia="zh-Hans"/>
        </w:rPr>
      </w:pPr>
      <w:r>
        <w:rPr>
          <w:rFonts w:hint="eastAsia"/>
          <w:color w:val="000000"/>
          <w:sz w:val="28"/>
          <w:szCs w:val="28"/>
          <w:lang w:val="en-US" w:eastAsia="zh-Hans"/>
        </w:rPr>
        <w:t>二级标题（宋体、四号）</w:t>
      </w:r>
    </w:p>
    <w:p w14:paraId="4359A9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color w:val="000000"/>
          <w:sz w:val="24"/>
          <w:szCs w:val="24"/>
          <w:lang w:val="en-US" w:eastAsia="zh-Hans"/>
        </w:rPr>
      </w:pPr>
      <w:r>
        <w:rPr>
          <w:rFonts w:hint="eastAsia"/>
          <w:color w:val="000000"/>
          <w:sz w:val="24"/>
          <w:szCs w:val="24"/>
          <w:lang w:val="en-US" w:eastAsia="zh-Hans"/>
        </w:rPr>
        <w:t>三级标题（宋体、小四）</w:t>
      </w:r>
    </w:p>
    <w:p w14:paraId="1A324F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color w:val="000000"/>
          <w:sz w:val="21"/>
          <w:szCs w:val="21"/>
          <w:lang w:val="en-US" w:eastAsia="zh-Hans"/>
        </w:rPr>
      </w:pPr>
      <w:r>
        <w:rPr>
          <w:rFonts w:hint="eastAsia"/>
          <w:color w:val="000000"/>
          <w:sz w:val="21"/>
          <w:szCs w:val="21"/>
          <w:lang w:val="en-US" w:eastAsia="zh-Hans"/>
        </w:rPr>
        <w:t>正文（宋体、五号）</w:t>
      </w:r>
    </w:p>
    <w:p w14:paraId="1F1D27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color w:val="000000"/>
          <w:sz w:val="21"/>
          <w:szCs w:val="21"/>
          <w:lang w:val="en-US" w:eastAsia="zh-Hans"/>
        </w:rPr>
      </w:pPr>
      <w:r>
        <w:rPr>
          <w:rFonts w:hint="eastAsia"/>
          <w:color w:val="000000"/>
          <w:sz w:val="21"/>
          <w:szCs w:val="21"/>
          <w:lang w:val="en-US" w:eastAsia="zh-Hans"/>
        </w:rPr>
        <w:t>行间距（</w:t>
      </w:r>
      <w:r>
        <w:rPr>
          <w:rFonts w:hint="default"/>
          <w:color w:val="000000"/>
          <w:sz w:val="21"/>
          <w:szCs w:val="21"/>
          <w:lang w:eastAsia="zh-Hans"/>
        </w:rPr>
        <w:t>1.5</w:t>
      </w:r>
      <w:r>
        <w:rPr>
          <w:rFonts w:hint="eastAsia"/>
          <w:color w:val="000000"/>
          <w:sz w:val="21"/>
          <w:szCs w:val="21"/>
          <w:lang w:val="en-US" w:eastAsia="zh-Hans"/>
        </w:rPr>
        <w:t>）</w:t>
      </w:r>
    </w:p>
    <w:p w14:paraId="729433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color w:val="000000"/>
          <w:sz w:val="21"/>
          <w:szCs w:val="21"/>
          <w:lang w:val="en-US" w:eastAsia="zh-Hans"/>
        </w:rPr>
      </w:pPr>
    </w:p>
    <w:p w14:paraId="16B5B3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color w:val="000000"/>
          <w:sz w:val="21"/>
          <w:szCs w:val="21"/>
          <w:lang w:val="en-US" w:eastAsia="zh-Hans"/>
        </w:rPr>
      </w:pPr>
      <w:r>
        <w:rPr>
          <w:rFonts w:hint="eastAsia"/>
          <w:color w:val="000000"/>
          <w:sz w:val="21"/>
          <w:szCs w:val="21"/>
          <w:lang w:val="en-US" w:eastAsia="zh-Hans"/>
        </w:rPr>
        <w:t>（如有更多级标题，可以酌情排版）</w:t>
      </w:r>
    </w:p>
    <w:p w14:paraId="572A05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color w:val="000000"/>
          <w:sz w:val="21"/>
          <w:szCs w:val="21"/>
          <w:lang w:val="en-US" w:eastAsia="zh-Hans"/>
        </w:rPr>
      </w:pPr>
    </w:p>
    <w:p w14:paraId="5E15D6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color w:val="000000"/>
          <w:sz w:val="21"/>
          <w:szCs w:val="21"/>
          <w:lang w:val="en-US" w:eastAsia="zh-Hans"/>
        </w:rPr>
      </w:pPr>
    </w:p>
    <w:p w14:paraId="4B3F3E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color w:val="000000"/>
          <w:sz w:val="21"/>
          <w:szCs w:val="21"/>
          <w:lang w:val="en-US" w:eastAsia="zh-Hans"/>
        </w:rPr>
      </w:pPr>
      <w:r>
        <w:rPr>
          <w:rFonts w:hint="eastAsia"/>
          <w:color w:val="000000"/>
          <w:sz w:val="21"/>
          <w:szCs w:val="21"/>
          <w:lang w:val="en-US" w:eastAsia="zh-Hans"/>
        </w:rPr>
        <w:t>其他说明：</w:t>
      </w:r>
    </w:p>
    <w:p w14:paraId="2A4DEF1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color w:val="000000"/>
          <w:sz w:val="21"/>
          <w:szCs w:val="21"/>
          <w:lang w:val="en-US" w:eastAsia="zh-Hans"/>
        </w:rPr>
      </w:pPr>
      <w:r>
        <w:rPr>
          <w:rFonts w:hint="eastAsia"/>
          <w:color w:val="000000"/>
          <w:sz w:val="21"/>
          <w:szCs w:val="21"/>
          <w:lang w:val="en-US" w:eastAsia="zh-Hans"/>
        </w:rPr>
        <w:t>引用其他资料，包括论文、研究报告、书籍等，需用脚注形式标明</w:t>
      </w:r>
    </w:p>
    <w:p w14:paraId="21C566A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color w:val="000000"/>
          <w:sz w:val="21"/>
          <w:szCs w:val="21"/>
          <w:lang w:val="en-US" w:eastAsia="zh-Hans"/>
        </w:rPr>
      </w:pPr>
      <w:r>
        <w:rPr>
          <w:rFonts w:hint="eastAsia"/>
          <w:color w:val="000000"/>
          <w:sz w:val="21"/>
          <w:szCs w:val="21"/>
          <w:lang w:val="en-US" w:eastAsia="zh-Hans"/>
        </w:rPr>
        <w:t>如有访谈提纲、调查问卷或其他等大篇幅材料，需在附录中附上完整材料</w:t>
      </w:r>
    </w:p>
    <w:p w14:paraId="5F7F596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color w:val="000000"/>
          <w:sz w:val="21"/>
          <w:szCs w:val="21"/>
          <w:lang w:val="en-US" w:eastAsia="zh-Hans"/>
        </w:rPr>
      </w:pPr>
      <w:r>
        <w:rPr>
          <w:rFonts w:hint="eastAsia"/>
          <w:color w:val="000000"/>
          <w:sz w:val="21"/>
          <w:szCs w:val="21"/>
          <w:lang w:val="en-US" w:eastAsia="zh-CN"/>
        </w:rPr>
        <w:t>模板括号内的说明性内容可删除</w:t>
      </w:r>
    </w:p>
    <w:p w14:paraId="6F8947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color w:val="000000"/>
          <w:sz w:val="28"/>
          <w:szCs w:val="28"/>
          <w:lang w:val="en-US" w:eastAsia="zh-Hans"/>
        </w:rPr>
      </w:pPr>
    </w:p>
    <w:sectPr>
      <w:footerReference r:id="rId3" w:type="default"/>
      <w:footerReference r:id="rId4" w:type="even"/>
      <w:pgSz w:w="11907" w:h="16840"/>
      <w:pgMar w:top="1701" w:right="1304" w:bottom="1418" w:left="1304" w:header="851" w:footer="851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85DD28">
    <w:pPr>
      <w:pStyle w:val="6"/>
      <w:rPr>
        <w:rFonts w:hint="eastAsia"/>
      </w:rPr>
    </w:pPr>
    <w:r>
      <w:rPr>
        <w:rStyle w:val="13"/>
        <w:rFonts w:hint="eastAsia"/>
      </w:rPr>
      <w:t xml:space="preserve">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B726EC">
    <w:pPr>
      <w:pStyle w:val="6"/>
      <w:framePr w:wrap="around" w:vAnchor="text" w:hAnchor="margin" w:xAlign="center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separate"/>
    </w:r>
    <w:r>
      <w:rPr>
        <w:rStyle w:val="13"/>
      </w:rPr>
      <w:t xml:space="preserve"> </w:t>
    </w:r>
    <w:r>
      <w:fldChar w:fldCharType="end"/>
    </w:r>
  </w:p>
  <w:p w14:paraId="4B7AB3DD">
    <w:pPr>
      <w:pStyle w:val="6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CAE7E4"/>
    <w:multiLevelType w:val="singleLevel"/>
    <w:tmpl w:val="62CAE7E4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6B18FB15"/>
    <w:multiLevelType w:val="singleLevel"/>
    <w:tmpl w:val="6B18FB1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5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wZTkyOTZlYzkxZjBjYzI3ODE1N2NhODdiMDFhMmUifQ=="/>
  </w:docVars>
  <w:rsids>
    <w:rsidRoot w:val="00A73E77"/>
    <w:rsid w:val="00032ACD"/>
    <w:rsid w:val="00041B58"/>
    <w:rsid w:val="00082FC1"/>
    <w:rsid w:val="000C20C1"/>
    <w:rsid w:val="000E692B"/>
    <w:rsid w:val="00130A3F"/>
    <w:rsid w:val="001C0A05"/>
    <w:rsid w:val="001D2350"/>
    <w:rsid w:val="00203F77"/>
    <w:rsid w:val="00227A4C"/>
    <w:rsid w:val="0027628D"/>
    <w:rsid w:val="00282A7D"/>
    <w:rsid w:val="00286E1A"/>
    <w:rsid w:val="002A48F8"/>
    <w:rsid w:val="00303325"/>
    <w:rsid w:val="003439E4"/>
    <w:rsid w:val="00355764"/>
    <w:rsid w:val="00361877"/>
    <w:rsid w:val="003B4D25"/>
    <w:rsid w:val="003C17AC"/>
    <w:rsid w:val="003D0034"/>
    <w:rsid w:val="003D0EFC"/>
    <w:rsid w:val="003F145D"/>
    <w:rsid w:val="004571CA"/>
    <w:rsid w:val="004A012A"/>
    <w:rsid w:val="004A0D50"/>
    <w:rsid w:val="00502637"/>
    <w:rsid w:val="005162D0"/>
    <w:rsid w:val="00581F11"/>
    <w:rsid w:val="005C0645"/>
    <w:rsid w:val="005D76E5"/>
    <w:rsid w:val="005F56D4"/>
    <w:rsid w:val="00635ECD"/>
    <w:rsid w:val="00640349"/>
    <w:rsid w:val="00665AEA"/>
    <w:rsid w:val="0067127B"/>
    <w:rsid w:val="00674D62"/>
    <w:rsid w:val="00675BEC"/>
    <w:rsid w:val="00680F6B"/>
    <w:rsid w:val="006A429C"/>
    <w:rsid w:val="006E63BE"/>
    <w:rsid w:val="006F595B"/>
    <w:rsid w:val="007023B5"/>
    <w:rsid w:val="00702583"/>
    <w:rsid w:val="00714688"/>
    <w:rsid w:val="0074067A"/>
    <w:rsid w:val="007477CB"/>
    <w:rsid w:val="00753F68"/>
    <w:rsid w:val="0076179E"/>
    <w:rsid w:val="007C44CB"/>
    <w:rsid w:val="007D1E56"/>
    <w:rsid w:val="007F5C55"/>
    <w:rsid w:val="008060CC"/>
    <w:rsid w:val="00830109"/>
    <w:rsid w:val="008647C3"/>
    <w:rsid w:val="00892738"/>
    <w:rsid w:val="00895911"/>
    <w:rsid w:val="008C7EE7"/>
    <w:rsid w:val="00910088"/>
    <w:rsid w:val="00930936"/>
    <w:rsid w:val="00972BBB"/>
    <w:rsid w:val="009A1EAF"/>
    <w:rsid w:val="009B79A0"/>
    <w:rsid w:val="00A130CF"/>
    <w:rsid w:val="00A74481"/>
    <w:rsid w:val="00A7597B"/>
    <w:rsid w:val="00A814EF"/>
    <w:rsid w:val="00A92B52"/>
    <w:rsid w:val="00A938CA"/>
    <w:rsid w:val="00AA6D53"/>
    <w:rsid w:val="00AD1A56"/>
    <w:rsid w:val="00AD2943"/>
    <w:rsid w:val="00B13EE6"/>
    <w:rsid w:val="00B375C5"/>
    <w:rsid w:val="00B55611"/>
    <w:rsid w:val="00B866A0"/>
    <w:rsid w:val="00BD7643"/>
    <w:rsid w:val="00C6458C"/>
    <w:rsid w:val="00C73F81"/>
    <w:rsid w:val="00CA5B45"/>
    <w:rsid w:val="00D1441E"/>
    <w:rsid w:val="00D2633F"/>
    <w:rsid w:val="00D4729A"/>
    <w:rsid w:val="00D47579"/>
    <w:rsid w:val="00D66F96"/>
    <w:rsid w:val="00D75DCB"/>
    <w:rsid w:val="00E370F1"/>
    <w:rsid w:val="00E47BEE"/>
    <w:rsid w:val="00E64E55"/>
    <w:rsid w:val="00E842C3"/>
    <w:rsid w:val="00E86249"/>
    <w:rsid w:val="00E97C3D"/>
    <w:rsid w:val="00EA4ACF"/>
    <w:rsid w:val="00EA4B23"/>
    <w:rsid w:val="00EB6C56"/>
    <w:rsid w:val="00EC0A17"/>
    <w:rsid w:val="00EC4D65"/>
    <w:rsid w:val="00EE18F3"/>
    <w:rsid w:val="00EE79D8"/>
    <w:rsid w:val="00EF4869"/>
    <w:rsid w:val="00F013F7"/>
    <w:rsid w:val="00F07747"/>
    <w:rsid w:val="00F14899"/>
    <w:rsid w:val="00F36DCF"/>
    <w:rsid w:val="00F56D8F"/>
    <w:rsid w:val="00FE02F0"/>
    <w:rsid w:val="04C60792"/>
    <w:rsid w:val="05D463F3"/>
    <w:rsid w:val="06AA3375"/>
    <w:rsid w:val="06B804A8"/>
    <w:rsid w:val="08092E84"/>
    <w:rsid w:val="09555C3B"/>
    <w:rsid w:val="0A5E42FA"/>
    <w:rsid w:val="0A710F59"/>
    <w:rsid w:val="0C657BEF"/>
    <w:rsid w:val="0E91716C"/>
    <w:rsid w:val="0ECD0DE8"/>
    <w:rsid w:val="1080093C"/>
    <w:rsid w:val="11EB4164"/>
    <w:rsid w:val="12160DEC"/>
    <w:rsid w:val="125A4E46"/>
    <w:rsid w:val="139C3877"/>
    <w:rsid w:val="16172223"/>
    <w:rsid w:val="18A174D5"/>
    <w:rsid w:val="18CE573D"/>
    <w:rsid w:val="18E72427"/>
    <w:rsid w:val="19377C8F"/>
    <w:rsid w:val="1BB73603"/>
    <w:rsid w:val="1C434A8E"/>
    <w:rsid w:val="1D671D6F"/>
    <w:rsid w:val="1E773D2F"/>
    <w:rsid w:val="1E9C7353"/>
    <w:rsid w:val="1F736DF5"/>
    <w:rsid w:val="2091421F"/>
    <w:rsid w:val="234F06FC"/>
    <w:rsid w:val="23D84D3C"/>
    <w:rsid w:val="24AC773D"/>
    <w:rsid w:val="24D22ED7"/>
    <w:rsid w:val="252C546D"/>
    <w:rsid w:val="296648C4"/>
    <w:rsid w:val="2B29155B"/>
    <w:rsid w:val="2B5D3241"/>
    <w:rsid w:val="2C3B08D5"/>
    <w:rsid w:val="2CB109B3"/>
    <w:rsid w:val="2DE86B38"/>
    <w:rsid w:val="2DFA2AF5"/>
    <w:rsid w:val="30A07F62"/>
    <w:rsid w:val="31912BF0"/>
    <w:rsid w:val="32083777"/>
    <w:rsid w:val="32CE2FBA"/>
    <w:rsid w:val="33A028B1"/>
    <w:rsid w:val="357E0CC8"/>
    <w:rsid w:val="36001C3A"/>
    <w:rsid w:val="3648076A"/>
    <w:rsid w:val="36F90814"/>
    <w:rsid w:val="38E10206"/>
    <w:rsid w:val="395078BE"/>
    <w:rsid w:val="3D1C6730"/>
    <w:rsid w:val="3DFF1328"/>
    <w:rsid w:val="3F6E605F"/>
    <w:rsid w:val="3F977343"/>
    <w:rsid w:val="4053012E"/>
    <w:rsid w:val="40E77E69"/>
    <w:rsid w:val="411C593B"/>
    <w:rsid w:val="42321CE2"/>
    <w:rsid w:val="43557A4B"/>
    <w:rsid w:val="4468191B"/>
    <w:rsid w:val="45AB4359"/>
    <w:rsid w:val="45B35DF2"/>
    <w:rsid w:val="465B64BB"/>
    <w:rsid w:val="46C02522"/>
    <w:rsid w:val="46D5626E"/>
    <w:rsid w:val="46DD264E"/>
    <w:rsid w:val="46F97653"/>
    <w:rsid w:val="47536759"/>
    <w:rsid w:val="480770FB"/>
    <w:rsid w:val="4AC103E1"/>
    <w:rsid w:val="4B8B704A"/>
    <w:rsid w:val="4FC42895"/>
    <w:rsid w:val="504A59D9"/>
    <w:rsid w:val="5344340C"/>
    <w:rsid w:val="53E17DB3"/>
    <w:rsid w:val="544E0EE8"/>
    <w:rsid w:val="55CB192E"/>
    <w:rsid w:val="568C423D"/>
    <w:rsid w:val="57746B77"/>
    <w:rsid w:val="59CE257C"/>
    <w:rsid w:val="5B121B72"/>
    <w:rsid w:val="5C002CB9"/>
    <w:rsid w:val="5C7B1EC5"/>
    <w:rsid w:val="5CE23369"/>
    <w:rsid w:val="5DB56CE6"/>
    <w:rsid w:val="5FE5171C"/>
    <w:rsid w:val="615B7F07"/>
    <w:rsid w:val="61DF535E"/>
    <w:rsid w:val="629F1915"/>
    <w:rsid w:val="63040FB0"/>
    <w:rsid w:val="63C74423"/>
    <w:rsid w:val="63C74E42"/>
    <w:rsid w:val="63DF1AD1"/>
    <w:rsid w:val="63F46E0A"/>
    <w:rsid w:val="64653841"/>
    <w:rsid w:val="64743799"/>
    <w:rsid w:val="64F60729"/>
    <w:rsid w:val="671C0B7E"/>
    <w:rsid w:val="6739419F"/>
    <w:rsid w:val="6C6C59AD"/>
    <w:rsid w:val="6CD7509C"/>
    <w:rsid w:val="6CED4ACD"/>
    <w:rsid w:val="6D4B6D20"/>
    <w:rsid w:val="6D8F467D"/>
    <w:rsid w:val="6DC86577"/>
    <w:rsid w:val="6DD52C3E"/>
    <w:rsid w:val="6E3E18A6"/>
    <w:rsid w:val="6E8C77D6"/>
    <w:rsid w:val="6F164DCC"/>
    <w:rsid w:val="6F216FF3"/>
    <w:rsid w:val="6F5331F3"/>
    <w:rsid w:val="70E94E92"/>
    <w:rsid w:val="71C73920"/>
    <w:rsid w:val="71DD58DB"/>
    <w:rsid w:val="733B78FF"/>
    <w:rsid w:val="75D43609"/>
    <w:rsid w:val="7644212C"/>
    <w:rsid w:val="765E777E"/>
    <w:rsid w:val="772D6EF4"/>
    <w:rsid w:val="79AE5777"/>
    <w:rsid w:val="7BC135BD"/>
    <w:rsid w:val="7C731E9D"/>
    <w:rsid w:val="7CEB1E69"/>
    <w:rsid w:val="7D0E4014"/>
    <w:rsid w:val="7D43322A"/>
    <w:rsid w:val="7D7A387D"/>
    <w:rsid w:val="7EEF18BB"/>
    <w:rsid w:val="7F863C55"/>
    <w:rsid w:val="7F8E2E82"/>
    <w:rsid w:val="F69E32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2">
    <w:name w:val="Default Paragraph Font"/>
    <w:autoRedefine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  <w:pPr>
      <w:jc w:val="left"/>
    </w:pPr>
  </w:style>
  <w:style w:type="paragraph" w:styleId="3">
    <w:name w:val="Body Text"/>
    <w:basedOn w:val="1"/>
    <w:autoRedefine/>
    <w:qFormat/>
    <w:uiPriority w:val="0"/>
    <w:pPr>
      <w:adjustRightInd w:val="0"/>
      <w:jc w:val="left"/>
      <w:textAlignment w:val="baseline"/>
    </w:pPr>
  </w:style>
  <w:style w:type="paragraph" w:styleId="4">
    <w:name w:val="Body Text Indent"/>
    <w:basedOn w:val="1"/>
    <w:autoRedefine/>
    <w:qFormat/>
    <w:uiPriority w:val="0"/>
    <w:pPr>
      <w:adjustRightInd w:val="0"/>
      <w:textAlignment w:val="baseline"/>
    </w:pPr>
    <w:rPr>
      <w:rFonts w:ascii="黑体" w:eastAsia="黑体"/>
      <w:sz w:val="28"/>
    </w:rPr>
  </w:style>
  <w:style w:type="paragraph" w:styleId="5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footnote text"/>
    <w:basedOn w:val="1"/>
    <w:autoRedefine/>
    <w:qFormat/>
    <w:uiPriority w:val="0"/>
    <w:pPr>
      <w:snapToGrid w:val="0"/>
      <w:jc w:val="left"/>
    </w:pPr>
    <w:rPr>
      <w:sz w:val="18"/>
      <w:szCs w:val="18"/>
    </w:rPr>
  </w:style>
  <w:style w:type="paragraph" w:styleId="9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autoRedefine/>
    <w:qFormat/>
    <w:uiPriority w:val="0"/>
  </w:style>
  <w:style w:type="character" w:styleId="14">
    <w:name w:val="footnote reference"/>
    <w:autoRedefine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BUPTCC</Company>
  <Pages>7</Pages>
  <Words>2095</Words>
  <Characters>2118</Characters>
  <Lines>26</Lines>
  <Paragraphs>7</Paragraphs>
  <TotalTime>1</TotalTime>
  <ScaleCrop>false</ScaleCrop>
  <LinksUpToDate>false</LinksUpToDate>
  <CharactersWithSpaces>2142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2014-08-11T16:00:00Z</dcterms:created>
  <dc:creator>房鸣</dc:creator>
  <cp:lastModifiedBy>。</cp:lastModifiedBy>
  <cp:lastPrinted>2022-01-14T16:01:00Z</cp:lastPrinted>
  <dcterms:modified xsi:type="dcterms:W3CDTF">2024-08-29T03:56:48Z</dcterms:modified>
  <dc:title>年度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FB41DB39AB0E4B90A12C7F12A238FD87_13</vt:lpwstr>
  </property>
  <property fmtid="{D5CDD505-2E9C-101B-9397-08002B2CF9AE}" pid="4" name="commondata">
    <vt:lpwstr>eyJoZGlkIjoiMTY5YTI2NTgwNjdiMGViM2U1YWM3NjlhMTYwNjZjOTAifQ==</vt:lpwstr>
  </property>
</Properties>
</file>